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0372E" w:rsidRDefault="00D869A5" w:rsidP="00844043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 xml:space="preserve">ISO </w:t>
      </w:r>
      <w:r w:rsidR="0010372E">
        <w:rPr>
          <w:rFonts w:ascii="Arial" w:eastAsia="Times New Roman" w:hAnsi="Arial" w:cs="Arial"/>
          <w:b/>
          <w:sz w:val="24"/>
          <w:szCs w:val="24"/>
        </w:rPr>
        <w:t>6504-1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10372E" w:rsidRPr="0010372E">
        <w:rPr>
          <w:rFonts w:ascii="Arial" w:hAnsi="Arial" w:cs="Arial"/>
          <w:b/>
          <w:sz w:val="24"/>
          <w:szCs w:val="24"/>
        </w:rPr>
        <w:t xml:space="preserve">Краски и лаки. Определение </w:t>
      </w:r>
      <w:proofErr w:type="spellStart"/>
      <w:r w:rsidR="0010372E" w:rsidRPr="0010372E">
        <w:rPr>
          <w:rFonts w:ascii="Arial" w:hAnsi="Arial" w:cs="Arial"/>
          <w:b/>
          <w:sz w:val="24"/>
          <w:szCs w:val="24"/>
        </w:rPr>
        <w:t>укрывистости</w:t>
      </w:r>
      <w:proofErr w:type="spellEnd"/>
      <w:r w:rsidR="0010372E" w:rsidRPr="0010372E">
        <w:rPr>
          <w:rFonts w:ascii="Arial" w:hAnsi="Arial" w:cs="Arial"/>
          <w:b/>
          <w:sz w:val="24"/>
          <w:szCs w:val="24"/>
        </w:rPr>
        <w:t xml:space="preserve">. </w:t>
      </w:r>
    </w:p>
    <w:p w:rsidR="001D2D14" w:rsidRDefault="0010372E" w:rsidP="00844043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0372E">
        <w:rPr>
          <w:rFonts w:ascii="Arial" w:hAnsi="Arial" w:cs="Arial"/>
          <w:b/>
          <w:sz w:val="24"/>
          <w:szCs w:val="24"/>
        </w:rPr>
        <w:t xml:space="preserve">Часть 1. Метод </w:t>
      </w:r>
      <w:proofErr w:type="spellStart"/>
      <w:r w:rsidRPr="0010372E">
        <w:rPr>
          <w:rFonts w:ascii="Arial" w:hAnsi="Arial" w:cs="Arial"/>
          <w:b/>
          <w:sz w:val="24"/>
          <w:szCs w:val="24"/>
        </w:rPr>
        <w:t>Кубелка</w:t>
      </w:r>
      <w:proofErr w:type="spellEnd"/>
      <w:r w:rsidRPr="0010372E">
        <w:rPr>
          <w:rFonts w:ascii="Arial" w:hAnsi="Arial" w:cs="Arial"/>
          <w:b/>
          <w:sz w:val="24"/>
          <w:szCs w:val="24"/>
        </w:rPr>
        <w:t>-Мунка для красок белых и светлых тонов</w:t>
      </w:r>
      <w:r w:rsidR="00D869A5"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</w:t>
      </w:r>
      <w:r w:rsidR="00B06A7B">
        <w:rPr>
          <w:rFonts w:ascii="Arial" w:hAnsi="Arial" w:cs="Arial"/>
          <w:b/>
          <w:sz w:val="24"/>
          <w:szCs w:val="24"/>
        </w:rPr>
        <w:t>ование 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6FAF" w:rsidRDefault="00D869A5" w:rsidP="00EB10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752584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752584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752584" w:rsidRPr="00752584">
        <w:rPr>
          <w:rFonts w:ascii="Arial" w:hAnsi="Arial" w:cs="Arial"/>
          <w:sz w:val="24"/>
          <w:szCs w:val="24"/>
        </w:rPr>
        <w:t>(</w:t>
      </w:r>
      <w:r w:rsidRPr="00752584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752584" w:rsidRPr="00752584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DA6FAF" w:rsidRPr="00DA6FAF">
        <w:rPr>
          <w:rFonts w:ascii="Arial" w:hAnsi="Arial" w:cs="Arial"/>
          <w:sz w:val="24"/>
          <w:szCs w:val="24"/>
        </w:rPr>
        <w:t>проекта ТР ЕАЭС «О безопасности лакокрасочных материалов»</w:t>
      </w:r>
      <w:r w:rsidR="00DA6FAF">
        <w:rPr>
          <w:rFonts w:ascii="Arial" w:hAnsi="Arial" w:cs="Arial"/>
          <w:sz w:val="24"/>
          <w:szCs w:val="24"/>
        </w:rPr>
        <w:t xml:space="preserve">.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B06A7B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0372E" w:rsidRDefault="008A2B9F" w:rsidP="0010372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Pr="0010372E">
        <w:rPr>
          <w:rFonts w:ascii="Arial" w:hAnsi="Arial" w:cs="Arial"/>
          <w:sz w:val="24"/>
          <w:szCs w:val="24"/>
        </w:rPr>
        <w:t xml:space="preserve"> </w:t>
      </w:r>
      <w:r w:rsidR="0010372E">
        <w:rPr>
          <w:rFonts w:ascii="Arial" w:hAnsi="Arial" w:cs="Arial"/>
          <w:sz w:val="24"/>
          <w:szCs w:val="24"/>
        </w:rPr>
        <w:t>устанавливает</w:t>
      </w:r>
      <w:r w:rsidR="0010372E" w:rsidRPr="0010372E">
        <w:rPr>
          <w:rFonts w:ascii="Arial" w:hAnsi="Arial" w:cs="Arial"/>
          <w:sz w:val="24"/>
          <w:szCs w:val="24"/>
        </w:rPr>
        <w:t xml:space="preserve"> метод определения </w:t>
      </w:r>
      <w:proofErr w:type="spellStart"/>
      <w:r w:rsidR="0010372E" w:rsidRPr="0010372E">
        <w:rPr>
          <w:rFonts w:ascii="Arial" w:hAnsi="Arial" w:cs="Arial"/>
          <w:sz w:val="24"/>
          <w:szCs w:val="24"/>
        </w:rPr>
        <w:t>укрывистости</w:t>
      </w:r>
      <w:proofErr w:type="spellEnd"/>
      <w:r w:rsidR="0010372E" w:rsidRPr="0010372E">
        <w:rPr>
          <w:rFonts w:ascii="Arial" w:hAnsi="Arial" w:cs="Arial"/>
          <w:sz w:val="24"/>
          <w:szCs w:val="24"/>
        </w:rPr>
        <w:t xml:space="preserve"> (степени растекания, необходимой для обеспечения </w:t>
      </w:r>
      <w:proofErr w:type="spellStart"/>
      <w:r w:rsidR="0010372E" w:rsidRPr="0010372E">
        <w:rPr>
          <w:rFonts w:ascii="Arial" w:hAnsi="Arial" w:cs="Arial"/>
          <w:sz w:val="24"/>
          <w:szCs w:val="24"/>
        </w:rPr>
        <w:t>укрывистости</w:t>
      </w:r>
      <w:proofErr w:type="spellEnd"/>
      <w:r w:rsidR="0010372E" w:rsidRPr="0010372E">
        <w:rPr>
          <w:rFonts w:ascii="Arial" w:hAnsi="Arial" w:cs="Arial"/>
          <w:sz w:val="24"/>
          <w:szCs w:val="24"/>
        </w:rPr>
        <w:t xml:space="preserve"> 98</w:t>
      </w:r>
      <w:r w:rsidR="0010372E">
        <w:rPr>
          <w:rFonts w:ascii="Arial" w:hAnsi="Arial" w:cs="Arial"/>
          <w:sz w:val="24"/>
          <w:szCs w:val="24"/>
        </w:rPr>
        <w:t xml:space="preserve"> </w:t>
      </w:r>
      <w:r w:rsidR="0010372E" w:rsidRPr="0010372E">
        <w:rPr>
          <w:rFonts w:ascii="Arial" w:hAnsi="Arial" w:cs="Arial"/>
          <w:sz w:val="24"/>
          <w:szCs w:val="24"/>
        </w:rPr>
        <w:t xml:space="preserve">%) белых или светлых красок. </w:t>
      </w:r>
    </w:p>
    <w:p w:rsidR="0010372E" w:rsidRDefault="0010372E" w:rsidP="0010372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Стандарт </w:t>
      </w:r>
      <w:r w:rsidRPr="0010372E">
        <w:rPr>
          <w:rFonts w:ascii="Arial" w:hAnsi="Arial" w:cs="Arial"/>
          <w:sz w:val="24"/>
          <w:szCs w:val="24"/>
        </w:rPr>
        <w:t xml:space="preserve">применим к </w:t>
      </w:r>
      <w:proofErr w:type="spellStart"/>
      <w:r w:rsidRPr="0010372E">
        <w:rPr>
          <w:rFonts w:ascii="Arial" w:hAnsi="Arial" w:cs="Arial"/>
          <w:sz w:val="24"/>
          <w:szCs w:val="24"/>
        </w:rPr>
        <w:t>лакокрасящим</w:t>
      </w:r>
      <w:proofErr w:type="spellEnd"/>
      <w:r w:rsidRPr="0010372E">
        <w:rPr>
          <w:rFonts w:ascii="Arial" w:hAnsi="Arial" w:cs="Arial"/>
          <w:sz w:val="24"/>
          <w:szCs w:val="24"/>
        </w:rPr>
        <w:t xml:space="preserve"> пленкам, имеющим величину </w:t>
      </w:r>
      <w:r w:rsidRPr="00F71ED5">
        <w:rPr>
          <w:rFonts w:ascii="Arial" w:hAnsi="Arial" w:cs="Arial"/>
          <w:i/>
          <w:sz w:val="24"/>
          <w:szCs w:val="24"/>
        </w:rPr>
        <w:t>Y</w:t>
      </w:r>
      <w:r w:rsidRPr="0010372E">
        <w:rPr>
          <w:rFonts w:ascii="Arial" w:hAnsi="Arial" w:cs="Arial"/>
          <w:sz w:val="24"/>
          <w:szCs w:val="24"/>
        </w:rPr>
        <w:t xml:space="preserve"> ≥ 70 % и </w:t>
      </w:r>
      <w:proofErr w:type="spellStart"/>
      <w:r w:rsidRPr="0010372E">
        <w:rPr>
          <w:rFonts w:ascii="Arial" w:hAnsi="Arial" w:cs="Arial"/>
          <w:sz w:val="24"/>
          <w:szCs w:val="24"/>
        </w:rPr>
        <w:t>укрывистость</w:t>
      </w:r>
      <w:proofErr w:type="spellEnd"/>
      <w:r w:rsidRPr="0010372E">
        <w:rPr>
          <w:rFonts w:ascii="Arial" w:hAnsi="Arial" w:cs="Arial"/>
          <w:sz w:val="24"/>
          <w:szCs w:val="24"/>
        </w:rPr>
        <w:t xml:space="preserve"> более 80</w:t>
      </w:r>
      <w:r>
        <w:rPr>
          <w:rFonts w:ascii="Arial" w:hAnsi="Arial" w:cs="Arial"/>
          <w:sz w:val="24"/>
          <w:szCs w:val="24"/>
        </w:rPr>
        <w:t xml:space="preserve"> </w:t>
      </w:r>
      <w:r w:rsidRPr="0010372E">
        <w:rPr>
          <w:rFonts w:ascii="Arial" w:hAnsi="Arial" w:cs="Arial"/>
          <w:sz w:val="24"/>
          <w:szCs w:val="24"/>
        </w:rPr>
        <w:t xml:space="preserve">%. </w:t>
      </w:r>
    </w:p>
    <w:p w:rsidR="0010372E" w:rsidRDefault="008A2B9F" w:rsidP="0010372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372E">
        <w:rPr>
          <w:rFonts w:ascii="Arial" w:hAnsi="Arial" w:cs="Arial"/>
          <w:sz w:val="24"/>
          <w:szCs w:val="24"/>
        </w:rPr>
        <w:t xml:space="preserve">Стандарт </w:t>
      </w:r>
      <w:r w:rsidR="0010372E" w:rsidRPr="0010372E">
        <w:rPr>
          <w:rFonts w:ascii="Arial" w:hAnsi="Arial" w:cs="Arial"/>
          <w:sz w:val="24"/>
          <w:szCs w:val="24"/>
        </w:rPr>
        <w:t>не применяется к флуоресцентным или металлическим краскам.</w:t>
      </w:r>
    </w:p>
    <w:p w:rsidR="0010372E" w:rsidRPr="0010372E" w:rsidRDefault="0010372E" w:rsidP="0010372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372E">
        <w:rPr>
          <w:rFonts w:ascii="Arial" w:hAnsi="Arial" w:cs="Arial"/>
          <w:sz w:val="24"/>
          <w:szCs w:val="24"/>
        </w:rPr>
        <w:t xml:space="preserve">ISO 6504-3 устанавливает метод определения </w:t>
      </w:r>
      <w:proofErr w:type="spellStart"/>
      <w:r w:rsidRPr="0010372E">
        <w:rPr>
          <w:rFonts w:ascii="Arial" w:hAnsi="Arial" w:cs="Arial"/>
          <w:sz w:val="24"/>
          <w:szCs w:val="24"/>
        </w:rPr>
        <w:t>укрывистости</w:t>
      </w:r>
      <w:proofErr w:type="spellEnd"/>
      <w:r w:rsidRPr="0010372E">
        <w:rPr>
          <w:rFonts w:ascii="Arial" w:hAnsi="Arial" w:cs="Arial"/>
          <w:sz w:val="24"/>
          <w:szCs w:val="24"/>
        </w:rPr>
        <w:t xml:space="preserve"> красок при фиксированной скорости растекания, путем нанесения лакокрасочных пленок на черно-белые диаграммы и полиэфирную пленку соответственно. </w:t>
      </w:r>
      <w:r>
        <w:rPr>
          <w:rFonts w:ascii="Arial" w:hAnsi="Arial" w:cs="Arial"/>
          <w:sz w:val="24"/>
          <w:szCs w:val="24"/>
        </w:rPr>
        <w:t xml:space="preserve">Стандарт </w:t>
      </w:r>
      <w:r w:rsidRPr="0010372E">
        <w:rPr>
          <w:rFonts w:ascii="Arial" w:hAnsi="Arial" w:cs="Arial"/>
          <w:sz w:val="24"/>
          <w:szCs w:val="24"/>
        </w:rPr>
        <w:t xml:space="preserve"> заключается в наблюдении существующей линейной зависимости между </w:t>
      </w:r>
      <w:proofErr w:type="spellStart"/>
      <w:r w:rsidRPr="0010372E">
        <w:rPr>
          <w:rFonts w:ascii="Arial" w:hAnsi="Arial" w:cs="Arial"/>
          <w:sz w:val="24"/>
          <w:szCs w:val="24"/>
        </w:rPr>
        <w:t>укрывистостью</w:t>
      </w:r>
      <w:proofErr w:type="spellEnd"/>
      <w:r w:rsidRPr="0010372E">
        <w:rPr>
          <w:rFonts w:ascii="Arial" w:hAnsi="Arial" w:cs="Arial"/>
          <w:sz w:val="24"/>
          <w:szCs w:val="24"/>
        </w:rPr>
        <w:t xml:space="preserve"> и обратной толщиной пленки, по крайней мере, в ограниченном диапазоне толщины пленки.</w:t>
      </w:r>
    </w:p>
    <w:p w:rsidR="000B7592" w:rsidRDefault="0010372E" w:rsidP="0010372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10372E">
        <w:rPr>
          <w:rFonts w:ascii="Arial" w:hAnsi="Arial" w:cs="Arial"/>
          <w:sz w:val="24"/>
          <w:szCs w:val="24"/>
        </w:rPr>
        <w:t>Укрывистость</w:t>
      </w:r>
      <w:proofErr w:type="spellEnd"/>
      <w:r w:rsidRPr="0010372E">
        <w:rPr>
          <w:rFonts w:ascii="Arial" w:hAnsi="Arial" w:cs="Arial"/>
          <w:sz w:val="24"/>
          <w:szCs w:val="24"/>
        </w:rPr>
        <w:t xml:space="preserve"> красок обычно определяется как степень растекания, необходимая для того, чтобы </w:t>
      </w:r>
      <w:proofErr w:type="spellStart"/>
      <w:r w:rsidRPr="0010372E">
        <w:rPr>
          <w:rFonts w:ascii="Arial" w:hAnsi="Arial" w:cs="Arial"/>
          <w:sz w:val="24"/>
          <w:szCs w:val="24"/>
        </w:rPr>
        <w:t>укрывистость</w:t>
      </w:r>
      <w:proofErr w:type="spellEnd"/>
      <w:r w:rsidRPr="0010372E">
        <w:rPr>
          <w:rFonts w:ascii="Arial" w:hAnsi="Arial" w:cs="Arial"/>
          <w:sz w:val="24"/>
          <w:szCs w:val="24"/>
        </w:rPr>
        <w:t xml:space="preserve"> составила 98</w:t>
      </w:r>
      <w:r>
        <w:rPr>
          <w:rFonts w:ascii="Arial" w:hAnsi="Arial" w:cs="Arial"/>
          <w:sz w:val="24"/>
          <w:szCs w:val="24"/>
        </w:rPr>
        <w:t xml:space="preserve"> </w:t>
      </w:r>
      <w:r w:rsidRPr="0010372E">
        <w:rPr>
          <w:rFonts w:ascii="Arial" w:hAnsi="Arial" w:cs="Arial"/>
          <w:sz w:val="24"/>
          <w:szCs w:val="24"/>
        </w:rPr>
        <w:t xml:space="preserve">%. Чтобы определить это по методу, указанному в ISO 6504-3, потребуется много времени и значительная экстраполяция, которая часто превышает предел линейности отношений между </w:t>
      </w:r>
      <w:proofErr w:type="spellStart"/>
      <w:r w:rsidRPr="0010372E">
        <w:rPr>
          <w:rFonts w:ascii="Arial" w:hAnsi="Arial" w:cs="Arial"/>
          <w:sz w:val="24"/>
          <w:szCs w:val="24"/>
        </w:rPr>
        <w:t>укрывистостью</w:t>
      </w:r>
      <w:proofErr w:type="spellEnd"/>
      <w:r w:rsidRPr="0010372E">
        <w:rPr>
          <w:rFonts w:ascii="Arial" w:hAnsi="Arial" w:cs="Arial"/>
          <w:sz w:val="24"/>
          <w:szCs w:val="24"/>
        </w:rPr>
        <w:t xml:space="preserve"> и скоростью растекания. </w:t>
      </w:r>
      <w:r w:rsidR="007F3063">
        <w:rPr>
          <w:rFonts w:ascii="Arial" w:hAnsi="Arial" w:cs="Arial"/>
          <w:sz w:val="24"/>
          <w:szCs w:val="24"/>
        </w:rPr>
        <w:t xml:space="preserve">А </w:t>
      </w:r>
      <w:r>
        <w:rPr>
          <w:rFonts w:ascii="Arial" w:hAnsi="Arial" w:cs="Arial"/>
          <w:sz w:val="24"/>
          <w:szCs w:val="24"/>
        </w:rPr>
        <w:t>установленный</w:t>
      </w:r>
      <w:r w:rsidRPr="0010372E">
        <w:rPr>
          <w:rFonts w:ascii="Arial" w:hAnsi="Arial" w:cs="Arial"/>
          <w:sz w:val="24"/>
          <w:szCs w:val="24"/>
        </w:rPr>
        <w:t xml:space="preserve"> метод определения </w:t>
      </w:r>
      <w:proofErr w:type="spellStart"/>
      <w:r w:rsidRPr="0010372E">
        <w:rPr>
          <w:rFonts w:ascii="Arial" w:hAnsi="Arial" w:cs="Arial"/>
          <w:sz w:val="24"/>
          <w:szCs w:val="24"/>
        </w:rPr>
        <w:t>укрывистости</w:t>
      </w:r>
      <w:proofErr w:type="spellEnd"/>
      <w:r>
        <w:rPr>
          <w:rFonts w:ascii="Arial" w:hAnsi="Arial" w:cs="Arial"/>
          <w:sz w:val="24"/>
          <w:szCs w:val="24"/>
        </w:rPr>
        <w:t xml:space="preserve"> в настоящем стандарте</w:t>
      </w:r>
      <w:r w:rsidRPr="0010372E">
        <w:rPr>
          <w:rFonts w:ascii="Arial" w:hAnsi="Arial" w:cs="Arial"/>
          <w:sz w:val="24"/>
          <w:szCs w:val="24"/>
        </w:rPr>
        <w:t xml:space="preserve">, включающий в себя уравнения </w:t>
      </w:r>
      <w:proofErr w:type="spellStart"/>
      <w:r w:rsidRPr="0010372E">
        <w:rPr>
          <w:rFonts w:ascii="Arial" w:hAnsi="Arial" w:cs="Arial"/>
          <w:sz w:val="24"/>
          <w:szCs w:val="24"/>
        </w:rPr>
        <w:t>Кубелки</w:t>
      </w:r>
      <w:proofErr w:type="spellEnd"/>
      <w:r w:rsidRPr="0010372E">
        <w:rPr>
          <w:rFonts w:ascii="Arial" w:hAnsi="Arial" w:cs="Arial"/>
          <w:sz w:val="24"/>
          <w:szCs w:val="24"/>
        </w:rPr>
        <w:t>-Мунка (K-M)</w:t>
      </w:r>
      <w:r w:rsidR="00F33DCC">
        <w:rPr>
          <w:rFonts w:ascii="Arial" w:hAnsi="Arial" w:cs="Arial"/>
          <w:sz w:val="24"/>
          <w:szCs w:val="24"/>
        </w:rPr>
        <w:t xml:space="preserve"> </w:t>
      </w:r>
      <w:r w:rsidRPr="0010372E">
        <w:rPr>
          <w:rFonts w:ascii="Arial" w:hAnsi="Arial" w:cs="Arial"/>
          <w:sz w:val="24"/>
          <w:szCs w:val="24"/>
        </w:rPr>
        <w:t xml:space="preserve"> связывают коэффициенты рассеяния и поглощени</w:t>
      </w:r>
      <w:r w:rsidR="007F3063">
        <w:rPr>
          <w:rFonts w:ascii="Arial" w:hAnsi="Arial" w:cs="Arial"/>
          <w:sz w:val="24"/>
          <w:szCs w:val="24"/>
        </w:rPr>
        <w:t>я с оптическими свойствами</w:t>
      </w:r>
      <w:r w:rsidRPr="0010372E">
        <w:rPr>
          <w:rFonts w:ascii="Arial" w:hAnsi="Arial" w:cs="Arial"/>
          <w:sz w:val="24"/>
          <w:szCs w:val="24"/>
        </w:rPr>
        <w:t>.</w:t>
      </w:r>
    </w:p>
    <w:p w:rsidR="00684059" w:rsidRPr="009D1DA2" w:rsidRDefault="00684059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B06A7B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A71B4" w:rsidRPr="005331CA" w:rsidRDefault="004A71B4" w:rsidP="004A71B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</w:t>
      </w:r>
      <w:r>
        <w:rPr>
          <w:rFonts w:ascii="Arial" w:hAnsi="Arial" w:cs="Arial"/>
          <w:sz w:val="24"/>
          <w:szCs w:val="24"/>
        </w:rPr>
        <w:t>выполнения требований таблицы 3 приложения 3 проекта технического регламента Евразийского экономического союза «О безопасности лакокрасочных материалов».</w:t>
      </w:r>
    </w:p>
    <w:p w:rsidR="00BF2CF1" w:rsidRDefault="004A71B4" w:rsidP="004A71B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</w:t>
      </w:r>
      <w:r>
        <w:rPr>
          <w:rFonts w:ascii="Arial" w:hAnsi="Arial" w:cs="Arial"/>
          <w:sz w:val="24"/>
          <w:szCs w:val="24"/>
        </w:rPr>
        <w:t>ваниям международных стандартов.</w:t>
      </w:r>
    </w:p>
    <w:p w:rsidR="00B06A7B" w:rsidRPr="008A2B9F" w:rsidRDefault="00B06A7B" w:rsidP="004A71B4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4. Сведения о взаимосвязи проекта межгосударственного стандарта с другими межгосударственными стандартами, правилами и рекомендациями </w:t>
      </w:r>
      <w:r w:rsidRPr="00D869A5">
        <w:rPr>
          <w:rFonts w:ascii="Arial" w:hAnsi="Arial" w:cs="Arial"/>
          <w:b/>
          <w:sz w:val="24"/>
          <w:szCs w:val="24"/>
        </w:rPr>
        <w:lastRenderedPageBreak/>
        <w:t>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B06A7B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9980.2-2014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Отбор проб, контроль и подготовка образцов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для испытаний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8832-76 (ИСО 1514-84)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получения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лакокрасочного покрытия для испытания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3F0B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0B3E" w:rsidRPr="003F0B3E">
        <w:rPr>
          <w:rFonts w:ascii="Arial" w:hAnsi="Arial" w:cs="Arial"/>
          <w:sz w:val="24"/>
          <w:szCs w:val="24"/>
        </w:rPr>
        <w:t xml:space="preserve">ГОСТ 21513-76 </w:t>
      </w:r>
      <w:r w:rsidR="003F0B3E">
        <w:rPr>
          <w:rFonts w:ascii="Arial" w:hAnsi="Arial" w:cs="Arial"/>
          <w:sz w:val="24"/>
          <w:szCs w:val="24"/>
        </w:rPr>
        <w:t>«</w:t>
      </w:r>
      <w:r w:rsidR="003F0B3E" w:rsidRPr="003F0B3E">
        <w:rPr>
          <w:rFonts w:ascii="Arial" w:hAnsi="Arial" w:cs="Arial"/>
          <w:sz w:val="24"/>
          <w:szCs w:val="24"/>
        </w:rPr>
        <w:t>Материалы лакокрасочные. Методы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определения водо- и влагопоглощения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лакокрасочной пленкой</w:t>
      </w:r>
      <w:r w:rsidR="003F0B3E"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29317-92 (ИСО 3270-84)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>
        <w:rPr>
          <w:rFonts w:ascii="Arial" w:hAnsi="Arial" w:cs="Arial"/>
          <w:sz w:val="24"/>
          <w:szCs w:val="24"/>
        </w:rPr>
        <w:t>»</w:t>
      </w:r>
      <w:r w:rsidR="006C6075">
        <w:rPr>
          <w:rFonts w:ascii="Arial" w:hAnsi="Arial" w:cs="Arial"/>
          <w:sz w:val="24"/>
          <w:szCs w:val="24"/>
        </w:rPr>
        <w:t>;</w:t>
      </w:r>
    </w:p>
    <w:p w:rsidR="006C6075" w:rsidRDefault="006C6075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>ГОСТ 33352-2015 (EN 1062-3:2008)</w:t>
      </w:r>
      <w:r w:rsidR="00684059">
        <w:rPr>
          <w:rFonts w:ascii="Arial" w:hAnsi="Arial" w:cs="Arial"/>
          <w:sz w:val="24"/>
          <w:szCs w:val="24"/>
        </w:rPr>
        <w:t xml:space="preserve"> 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лакокрасочные. Метод определения</w:t>
      </w:r>
      <w:r w:rsidR="00684059">
        <w:rPr>
          <w:rFonts w:ascii="Arial" w:hAnsi="Arial" w:cs="Arial"/>
          <w:sz w:val="24"/>
          <w:szCs w:val="24"/>
        </w:rPr>
        <w:t xml:space="preserve"> </w:t>
      </w:r>
      <w:r w:rsidR="00684059" w:rsidRPr="00684059">
        <w:rPr>
          <w:rFonts w:ascii="Arial" w:hAnsi="Arial" w:cs="Arial"/>
          <w:sz w:val="24"/>
          <w:szCs w:val="24"/>
        </w:rPr>
        <w:t>водопоглощения</w:t>
      </w:r>
      <w:r w:rsidR="00684059">
        <w:rPr>
          <w:rFonts w:ascii="Arial" w:hAnsi="Arial" w:cs="Arial"/>
          <w:sz w:val="24"/>
          <w:szCs w:val="24"/>
        </w:rPr>
        <w:t>»;</w:t>
      </w:r>
    </w:p>
    <w:p w:rsidR="00684059" w:rsidRDefault="004B672F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 xml:space="preserve">ГОСТ 29317-92 (ИСО 3270-84) </w:t>
      </w:r>
      <w:r w:rsidR="00684059">
        <w:rPr>
          <w:rFonts w:ascii="Arial" w:hAnsi="Arial" w:cs="Arial"/>
          <w:sz w:val="24"/>
          <w:szCs w:val="24"/>
        </w:rPr>
        <w:t>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 w:rsidR="00684059">
        <w:rPr>
          <w:rFonts w:ascii="Arial" w:hAnsi="Arial" w:cs="Arial"/>
          <w:sz w:val="24"/>
          <w:szCs w:val="24"/>
        </w:rPr>
        <w:t>»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B06A7B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</w:t>
      </w:r>
      <w:r w:rsidR="00B06A7B">
        <w:rPr>
          <w:rFonts w:ascii="Arial" w:hAnsi="Arial" w:cs="Arial"/>
          <w:b/>
          <w:sz w:val="24"/>
          <w:szCs w:val="24"/>
        </w:rPr>
        <w:t>е межгосударственного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37295F" w:rsidRDefault="008A2B9F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D17601" w:rsidRPr="00D17601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10372E" w:rsidRPr="0010372E">
        <w:rPr>
          <w:rFonts w:ascii="Arial" w:hAnsi="Arial" w:cs="Arial"/>
          <w:sz w:val="24"/>
          <w:lang w:val="en-US"/>
        </w:rPr>
        <w:t>ISO</w:t>
      </w:r>
      <w:r w:rsidR="0010372E" w:rsidRPr="0010372E">
        <w:rPr>
          <w:rFonts w:ascii="Arial" w:hAnsi="Arial" w:cs="Arial"/>
          <w:sz w:val="24"/>
        </w:rPr>
        <w:t xml:space="preserve"> 6504-1:2019</w:t>
      </w:r>
      <w:r w:rsidR="00F71ED5" w:rsidRPr="00F71ED5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</w:rPr>
        <w:t xml:space="preserve">Краски и лаки. Определение </w:t>
      </w:r>
      <w:proofErr w:type="spellStart"/>
      <w:r w:rsidR="00F71ED5" w:rsidRPr="0010372E">
        <w:rPr>
          <w:rFonts w:ascii="Arial" w:hAnsi="Arial" w:cs="Arial"/>
          <w:sz w:val="24"/>
        </w:rPr>
        <w:t>укрывистости</w:t>
      </w:r>
      <w:proofErr w:type="spellEnd"/>
      <w:r w:rsidR="00F71ED5" w:rsidRPr="0010372E">
        <w:rPr>
          <w:rFonts w:ascii="Arial" w:hAnsi="Arial" w:cs="Arial"/>
          <w:sz w:val="24"/>
        </w:rPr>
        <w:t xml:space="preserve">. Часть 1. </w:t>
      </w:r>
      <w:proofErr w:type="gramStart"/>
      <w:r w:rsidR="00F71ED5" w:rsidRPr="0010372E">
        <w:rPr>
          <w:rFonts w:ascii="Arial" w:hAnsi="Arial" w:cs="Arial"/>
          <w:sz w:val="24"/>
        </w:rPr>
        <w:t>Метод</w:t>
      </w:r>
      <w:r w:rsidR="00F71ED5" w:rsidRPr="0037295F">
        <w:rPr>
          <w:rFonts w:ascii="Arial" w:hAnsi="Arial" w:cs="Arial"/>
          <w:sz w:val="24"/>
        </w:rPr>
        <w:t xml:space="preserve"> </w:t>
      </w:r>
      <w:proofErr w:type="spellStart"/>
      <w:r w:rsidR="00F71ED5" w:rsidRPr="0010372E">
        <w:rPr>
          <w:rFonts w:ascii="Arial" w:hAnsi="Arial" w:cs="Arial"/>
          <w:sz w:val="24"/>
        </w:rPr>
        <w:t>Кубелка</w:t>
      </w:r>
      <w:proofErr w:type="spellEnd"/>
      <w:r w:rsidR="00F71ED5" w:rsidRPr="0037295F">
        <w:rPr>
          <w:rFonts w:ascii="Arial" w:hAnsi="Arial" w:cs="Arial"/>
          <w:sz w:val="24"/>
        </w:rPr>
        <w:t>-</w:t>
      </w:r>
      <w:r w:rsidR="00F71ED5" w:rsidRPr="0010372E">
        <w:rPr>
          <w:rFonts w:ascii="Arial" w:hAnsi="Arial" w:cs="Arial"/>
          <w:sz w:val="24"/>
        </w:rPr>
        <w:t>Мунка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</w:rPr>
        <w:t>для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</w:rPr>
        <w:t>красок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</w:rPr>
        <w:t>белых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</w:rPr>
        <w:t>и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</w:rPr>
        <w:t>светлых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</w:rPr>
        <w:t>тонов</w:t>
      </w:r>
      <w:r w:rsidR="0010372E" w:rsidRPr="0037295F">
        <w:rPr>
          <w:rFonts w:ascii="Arial" w:hAnsi="Arial" w:cs="Arial"/>
          <w:sz w:val="24"/>
        </w:rPr>
        <w:t xml:space="preserve"> (</w:t>
      </w:r>
      <w:r w:rsidR="00F71ED5" w:rsidRPr="0010372E">
        <w:rPr>
          <w:rFonts w:ascii="Arial" w:hAnsi="Arial" w:cs="Arial"/>
          <w:sz w:val="24"/>
          <w:lang w:val="en-US"/>
        </w:rPr>
        <w:t>Paints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and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varnishes</w:t>
      </w:r>
      <w:r w:rsidR="00F71ED5" w:rsidRPr="0037295F">
        <w:rPr>
          <w:rFonts w:ascii="Arial" w:hAnsi="Arial" w:cs="Arial"/>
          <w:sz w:val="24"/>
        </w:rPr>
        <w:t xml:space="preserve"> - </w:t>
      </w:r>
      <w:r w:rsidR="00F71ED5" w:rsidRPr="0010372E">
        <w:rPr>
          <w:rFonts w:ascii="Arial" w:hAnsi="Arial" w:cs="Arial"/>
          <w:sz w:val="24"/>
          <w:lang w:val="en-US"/>
        </w:rPr>
        <w:t>Determination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of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hiding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power</w:t>
      </w:r>
      <w:r w:rsidR="00F71ED5" w:rsidRPr="0037295F">
        <w:rPr>
          <w:rFonts w:ascii="Arial" w:hAnsi="Arial" w:cs="Arial"/>
          <w:sz w:val="24"/>
        </w:rPr>
        <w:t xml:space="preserve"> - </w:t>
      </w:r>
      <w:r w:rsidR="00F71ED5" w:rsidRPr="0010372E">
        <w:rPr>
          <w:rFonts w:ascii="Arial" w:hAnsi="Arial" w:cs="Arial"/>
          <w:sz w:val="24"/>
          <w:lang w:val="en-US"/>
        </w:rPr>
        <w:t>Part</w:t>
      </w:r>
      <w:r w:rsidR="00F71ED5" w:rsidRPr="0037295F">
        <w:rPr>
          <w:rFonts w:ascii="Arial" w:hAnsi="Arial" w:cs="Arial"/>
          <w:sz w:val="24"/>
        </w:rPr>
        <w:t xml:space="preserve"> 1:</w:t>
      </w:r>
      <w:proofErr w:type="gramEnd"/>
      <w:r w:rsidR="00F71ED5" w:rsidRPr="0037295F">
        <w:rPr>
          <w:rFonts w:ascii="Arial" w:hAnsi="Arial" w:cs="Arial"/>
          <w:sz w:val="24"/>
        </w:rPr>
        <w:t xml:space="preserve"> </w:t>
      </w:r>
      <w:proofErr w:type="spellStart"/>
      <w:r w:rsidR="00F71ED5" w:rsidRPr="0010372E">
        <w:rPr>
          <w:rFonts w:ascii="Arial" w:hAnsi="Arial" w:cs="Arial"/>
          <w:sz w:val="24"/>
          <w:lang w:val="en-US"/>
        </w:rPr>
        <w:t>Kubelka</w:t>
      </w:r>
      <w:proofErr w:type="spellEnd"/>
      <w:r w:rsidR="00F71ED5" w:rsidRPr="0037295F">
        <w:rPr>
          <w:rFonts w:ascii="Arial" w:hAnsi="Arial" w:cs="Arial"/>
          <w:sz w:val="24"/>
        </w:rPr>
        <w:t>-</w:t>
      </w:r>
      <w:proofErr w:type="spellStart"/>
      <w:r w:rsidR="00F71ED5" w:rsidRPr="0010372E">
        <w:rPr>
          <w:rFonts w:ascii="Arial" w:hAnsi="Arial" w:cs="Arial"/>
          <w:sz w:val="24"/>
          <w:lang w:val="en-US"/>
        </w:rPr>
        <w:t>Munk</w:t>
      </w:r>
      <w:proofErr w:type="spellEnd"/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method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for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white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and</w:t>
      </w:r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light</w:t>
      </w:r>
      <w:r w:rsidR="00F71ED5" w:rsidRPr="0037295F">
        <w:rPr>
          <w:rFonts w:ascii="Arial" w:hAnsi="Arial" w:cs="Arial"/>
          <w:sz w:val="24"/>
        </w:rPr>
        <w:t>-</w:t>
      </w:r>
      <w:proofErr w:type="spellStart"/>
      <w:r w:rsidR="00F71ED5" w:rsidRPr="0010372E">
        <w:rPr>
          <w:rFonts w:ascii="Arial" w:hAnsi="Arial" w:cs="Arial"/>
          <w:sz w:val="24"/>
          <w:lang w:val="en-US"/>
        </w:rPr>
        <w:t>coloured</w:t>
      </w:r>
      <w:proofErr w:type="spellEnd"/>
      <w:r w:rsidR="00F71ED5" w:rsidRPr="0037295F">
        <w:rPr>
          <w:rFonts w:ascii="Arial" w:hAnsi="Arial" w:cs="Arial"/>
          <w:sz w:val="24"/>
        </w:rPr>
        <w:t xml:space="preserve"> </w:t>
      </w:r>
      <w:r w:rsidR="00F71ED5" w:rsidRPr="0010372E">
        <w:rPr>
          <w:rFonts w:ascii="Arial" w:hAnsi="Arial" w:cs="Arial"/>
          <w:sz w:val="24"/>
          <w:lang w:val="en-US"/>
        </w:rPr>
        <w:t>paints</w:t>
      </w:r>
      <w:r w:rsidR="0010372E" w:rsidRPr="0037295F">
        <w:rPr>
          <w:rFonts w:ascii="Arial" w:hAnsi="Arial" w:cs="Arial"/>
          <w:sz w:val="24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B06A7B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4A71B4" w:rsidRPr="00856AC5" w:rsidRDefault="004A71B4" w:rsidP="004A71B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4A71B4" w:rsidRPr="00856AC5" w:rsidRDefault="004A71B4" w:rsidP="004A71B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4A71B4" w:rsidRPr="00856AC5" w:rsidRDefault="004A71B4" w:rsidP="004A71B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CC4953" w:rsidRPr="004A71B4" w:rsidRDefault="004A71B4" w:rsidP="004A71B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  <w:lang w:val="en-US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e-mail</w:t>
      </w:r>
      <w:proofErr w:type="gramEnd"/>
      <w:r w:rsidRPr="00856AC5">
        <w:rPr>
          <w:rFonts w:ascii="Arial" w:hAnsi="Arial" w:cs="Arial"/>
          <w:color w:val="000000"/>
          <w:lang w:val="en-US"/>
        </w:rPr>
        <w:t>: a.nygymetullakyzy@kazinst.kz</w:t>
      </w:r>
      <w:r w:rsidR="00CC4953" w:rsidRPr="004A71B4">
        <w:rPr>
          <w:rFonts w:ascii="Arial" w:hAnsi="Arial" w:cs="Arial"/>
          <w:color w:val="FF0000"/>
          <w:lang w:val="en-US"/>
        </w:rPr>
        <w:t xml:space="preserve"> </w:t>
      </w:r>
    </w:p>
    <w:p w:rsidR="00BF2CF1" w:rsidRPr="004A71B4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4A71B4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 «Казахстанский институт</w:t>
      </w:r>
      <w:bookmarkStart w:id="0" w:name="_GoBack"/>
      <w:bookmarkEnd w:id="0"/>
    </w:p>
    <w:p w:rsidR="00BF2CF1" w:rsidRPr="00D869A5" w:rsidRDefault="00BF2CF1" w:rsidP="007C1C95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 Хамитов</w:t>
      </w:r>
    </w:p>
    <w:sectPr w:rsidR="00BF2CF1" w:rsidRPr="00D869A5" w:rsidSect="00B06A7B">
      <w:footerReference w:type="default" r:id="rId8"/>
      <w:pgSz w:w="11906" w:h="16838"/>
      <w:pgMar w:top="1134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396" w:rsidRDefault="005D3396" w:rsidP="00214412">
      <w:pPr>
        <w:spacing w:after="0" w:line="240" w:lineRule="auto"/>
      </w:pPr>
      <w:r>
        <w:separator/>
      </w:r>
    </w:p>
  </w:endnote>
  <w:endnote w:type="continuationSeparator" w:id="0">
    <w:p w:rsidR="005D3396" w:rsidRDefault="005D3396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430921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B06A7B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396" w:rsidRDefault="005D3396" w:rsidP="00214412">
      <w:pPr>
        <w:spacing w:after="0" w:line="240" w:lineRule="auto"/>
      </w:pPr>
      <w:r>
        <w:separator/>
      </w:r>
    </w:p>
  </w:footnote>
  <w:footnote w:type="continuationSeparator" w:id="0">
    <w:p w:rsidR="005D3396" w:rsidRDefault="005D3396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B7592"/>
    <w:rsid w:val="000D034B"/>
    <w:rsid w:val="0010372E"/>
    <w:rsid w:val="00103A70"/>
    <w:rsid w:val="001D2D14"/>
    <w:rsid w:val="00214412"/>
    <w:rsid w:val="00242FF7"/>
    <w:rsid w:val="002A508D"/>
    <w:rsid w:val="002D418C"/>
    <w:rsid w:val="002E045F"/>
    <w:rsid w:val="0037295F"/>
    <w:rsid w:val="003F0B3E"/>
    <w:rsid w:val="00430921"/>
    <w:rsid w:val="004A71B4"/>
    <w:rsid w:val="004B672F"/>
    <w:rsid w:val="004E60E0"/>
    <w:rsid w:val="005D3396"/>
    <w:rsid w:val="00684059"/>
    <w:rsid w:val="006C6075"/>
    <w:rsid w:val="00745711"/>
    <w:rsid w:val="00752584"/>
    <w:rsid w:val="007A716D"/>
    <w:rsid w:val="007C1C95"/>
    <w:rsid w:val="007F3063"/>
    <w:rsid w:val="007F6F4F"/>
    <w:rsid w:val="008238BD"/>
    <w:rsid w:val="00844043"/>
    <w:rsid w:val="008610CE"/>
    <w:rsid w:val="008A2B9F"/>
    <w:rsid w:val="008E463F"/>
    <w:rsid w:val="009D1DA2"/>
    <w:rsid w:val="00AD34A5"/>
    <w:rsid w:val="00B06A7B"/>
    <w:rsid w:val="00B22F20"/>
    <w:rsid w:val="00BD661C"/>
    <w:rsid w:val="00BF2CF1"/>
    <w:rsid w:val="00C01C5A"/>
    <w:rsid w:val="00C92A9E"/>
    <w:rsid w:val="00CC4953"/>
    <w:rsid w:val="00CD13F0"/>
    <w:rsid w:val="00CD7AF6"/>
    <w:rsid w:val="00D17601"/>
    <w:rsid w:val="00D869A5"/>
    <w:rsid w:val="00DA6FAF"/>
    <w:rsid w:val="00E67C65"/>
    <w:rsid w:val="00EB101D"/>
    <w:rsid w:val="00F33DCC"/>
    <w:rsid w:val="00F4164F"/>
    <w:rsid w:val="00F7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8C90E-0E14-4BC9-8F4F-6C6A5E9D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23</cp:revision>
  <dcterms:created xsi:type="dcterms:W3CDTF">2020-02-20T06:19:00Z</dcterms:created>
  <dcterms:modified xsi:type="dcterms:W3CDTF">2020-03-19T06:47:00Z</dcterms:modified>
</cp:coreProperties>
</file>